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15F3" w14:textId="77777777" w:rsidR="00EB1C5A" w:rsidRPr="00E14EC2" w:rsidRDefault="00EB1C5A" w:rsidP="004321DB">
      <w:pPr>
        <w:pStyle w:val="F2-zkladn"/>
        <w:rPr>
          <w:b/>
          <w:sz w:val="28"/>
          <w:szCs w:val="28"/>
        </w:rPr>
      </w:pPr>
      <w:r>
        <w:rPr>
          <w:b/>
          <w:sz w:val="28"/>
          <w:szCs w:val="28"/>
        </w:rPr>
        <w:t>TISKOVÁ ZPRÁVA</w:t>
      </w:r>
    </w:p>
    <w:p w14:paraId="3730F680" w14:textId="22375758" w:rsidR="00EB1C5A" w:rsidRDefault="00EB1C5A" w:rsidP="004321DB">
      <w:pPr>
        <w:pStyle w:val="F2-zkladn"/>
        <w:tabs>
          <w:tab w:val="right" w:pos="9070"/>
        </w:tabs>
      </w:pPr>
      <w:r>
        <w:tab/>
      </w:r>
      <w:r w:rsidR="7C25CE9C">
        <w:t xml:space="preserve"> </w:t>
      </w:r>
      <w:r w:rsidR="00BE16A9">
        <w:t xml:space="preserve">Praha, </w:t>
      </w:r>
      <w:r w:rsidR="67E21DEA">
        <w:t>21</w:t>
      </w:r>
      <w:r w:rsidR="00BE16A9" w:rsidRPr="001665B3">
        <w:t>.</w:t>
      </w:r>
      <w:r w:rsidR="00BE16A9">
        <w:t xml:space="preserve"> </w:t>
      </w:r>
      <w:r w:rsidR="00C64D57">
        <w:t>října</w:t>
      </w:r>
      <w:r w:rsidR="625BE913">
        <w:t xml:space="preserve"> </w:t>
      </w:r>
      <w:r w:rsidR="00BE16A9">
        <w:t>202</w:t>
      </w:r>
      <w:r w:rsidR="003D33AF">
        <w:t>4</w:t>
      </w:r>
    </w:p>
    <w:p w14:paraId="1D4672CB" w14:textId="77777777" w:rsidR="007A39B8" w:rsidRDefault="007A39B8" w:rsidP="007A39B8">
      <w:pPr>
        <w:tabs>
          <w:tab w:val="right" w:pos="9070"/>
        </w:tabs>
        <w:spacing w:after="0" w:line="264" w:lineRule="auto"/>
        <w:jc w:val="both"/>
        <w:rPr>
          <w:rFonts w:ascii="Arial" w:hAnsi="Arial" w:cs="Arial"/>
          <w:b/>
          <w:bCs/>
          <w:sz w:val="24"/>
          <w:szCs w:val="24"/>
        </w:rPr>
      </w:pPr>
    </w:p>
    <w:p w14:paraId="1082AA43" w14:textId="2999E6F8" w:rsidR="001F501D" w:rsidRPr="007A39B8" w:rsidRDefault="48A55F41" w:rsidP="007A39B8">
      <w:pPr>
        <w:tabs>
          <w:tab w:val="right" w:pos="9070"/>
        </w:tabs>
        <w:spacing w:after="0" w:line="264" w:lineRule="auto"/>
        <w:jc w:val="center"/>
        <w:rPr>
          <w:rFonts w:ascii="Arial" w:hAnsi="Arial" w:cs="Arial"/>
          <w:b/>
          <w:bCs/>
          <w:sz w:val="26"/>
          <w:szCs w:val="26"/>
          <w:lang w:eastAsia="cs-CZ"/>
        </w:rPr>
      </w:pPr>
      <w:r w:rsidRPr="574DCD63">
        <w:rPr>
          <w:rFonts w:ascii="Arial" w:hAnsi="Arial" w:cs="Arial"/>
          <w:b/>
          <w:bCs/>
          <w:sz w:val="26"/>
          <w:szCs w:val="26"/>
        </w:rPr>
        <w:t xml:space="preserve">Analýza TPA: </w:t>
      </w:r>
      <w:r w:rsidR="0D23EB31" w:rsidRPr="574DCD63">
        <w:rPr>
          <w:rFonts w:ascii="Arial" w:hAnsi="Arial" w:cs="Arial"/>
          <w:b/>
          <w:bCs/>
          <w:sz w:val="26"/>
          <w:szCs w:val="26"/>
        </w:rPr>
        <w:t>Aktivita na M&amp;A trhu</w:t>
      </w:r>
      <w:r w:rsidR="423EC8DD" w:rsidRPr="574DCD63">
        <w:rPr>
          <w:rFonts w:ascii="Arial" w:hAnsi="Arial" w:cs="Arial"/>
          <w:b/>
          <w:bCs/>
          <w:sz w:val="26"/>
          <w:szCs w:val="26"/>
        </w:rPr>
        <w:t xml:space="preserve"> </w:t>
      </w:r>
      <w:r w:rsidR="5C12BFD7" w:rsidRPr="574DCD63">
        <w:rPr>
          <w:rFonts w:ascii="Arial" w:hAnsi="Arial" w:cs="Arial"/>
          <w:b/>
          <w:bCs/>
          <w:sz w:val="26"/>
          <w:szCs w:val="26"/>
        </w:rPr>
        <w:t>v regionu C</w:t>
      </w:r>
      <w:r w:rsidR="2559AC75" w:rsidRPr="574DCD63">
        <w:rPr>
          <w:rFonts w:ascii="Arial" w:hAnsi="Arial" w:cs="Arial"/>
          <w:b/>
          <w:bCs/>
          <w:sz w:val="26"/>
          <w:szCs w:val="26"/>
        </w:rPr>
        <w:t>E</w:t>
      </w:r>
      <w:r w:rsidR="5C12BFD7" w:rsidRPr="574DCD63">
        <w:rPr>
          <w:rFonts w:ascii="Arial" w:hAnsi="Arial" w:cs="Arial"/>
          <w:b/>
          <w:bCs/>
          <w:sz w:val="26"/>
          <w:szCs w:val="26"/>
        </w:rPr>
        <w:t xml:space="preserve">E </w:t>
      </w:r>
      <w:r w:rsidR="005500FE">
        <w:rPr>
          <w:rFonts w:ascii="Arial" w:hAnsi="Arial" w:cs="Arial"/>
          <w:b/>
          <w:bCs/>
          <w:sz w:val="26"/>
          <w:szCs w:val="26"/>
        </w:rPr>
        <w:t xml:space="preserve">ve druhém </w:t>
      </w:r>
      <w:r w:rsidR="007A39B8" w:rsidRPr="574DCD63">
        <w:rPr>
          <w:rFonts w:ascii="Arial" w:hAnsi="Arial" w:cs="Arial"/>
          <w:b/>
          <w:bCs/>
          <w:sz w:val="26"/>
          <w:szCs w:val="26"/>
        </w:rPr>
        <w:t>čtvrtletí</w:t>
      </w:r>
      <w:r w:rsidR="0D23EB31" w:rsidRPr="574DCD63">
        <w:rPr>
          <w:rFonts w:ascii="Arial" w:hAnsi="Arial" w:cs="Arial"/>
          <w:b/>
          <w:bCs/>
          <w:sz w:val="26"/>
          <w:szCs w:val="26"/>
        </w:rPr>
        <w:t xml:space="preserve"> </w:t>
      </w:r>
      <w:r w:rsidR="3DB991FF" w:rsidRPr="574DCD63">
        <w:rPr>
          <w:rFonts w:ascii="Arial" w:hAnsi="Arial" w:cs="Arial"/>
          <w:b/>
          <w:bCs/>
          <w:sz w:val="26"/>
          <w:szCs w:val="26"/>
        </w:rPr>
        <w:t>202</w:t>
      </w:r>
      <w:r w:rsidR="00F00E13" w:rsidRPr="574DCD63">
        <w:rPr>
          <w:rFonts w:ascii="Arial" w:hAnsi="Arial" w:cs="Arial"/>
          <w:b/>
          <w:bCs/>
          <w:sz w:val="26"/>
          <w:szCs w:val="26"/>
        </w:rPr>
        <w:t>4</w:t>
      </w:r>
      <w:r w:rsidR="5F96C9E2" w:rsidRPr="574DCD63">
        <w:rPr>
          <w:rFonts w:ascii="Arial" w:hAnsi="Arial" w:cs="Arial"/>
          <w:b/>
          <w:bCs/>
          <w:sz w:val="26"/>
          <w:szCs w:val="26"/>
        </w:rPr>
        <w:t>,</w:t>
      </w:r>
      <w:r w:rsidR="3DB991FF" w:rsidRPr="574DCD63">
        <w:rPr>
          <w:rFonts w:ascii="Arial" w:hAnsi="Arial" w:cs="Arial"/>
          <w:b/>
          <w:bCs/>
          <w:sz w:val="26"/>
          <w:szCs w:val="26"/>
        </w:rPr>
        <w:t xml:space="preserve"> </w:t>
      </w:r>
      <w:r w:rsidR="1CFD05CD" w:rsidRPr="574DCD63">
        <w:rPr>
          <w:rFonts w:ascii="Arial" w:hAnsi="Arial" w:cs="Arial"/>
          <w:b/>
          <w:bCs/>
          <w:sz w:val="26"/>
          <w:szCs w:val="26"/>
        </w:rPr>
        <w:t>o</w:t>
      </w:r>
      <w:r w:rsidR="383903CB" w:rsidRPr="574DCD63">
        <w:rPr>
          <w:rFonts w:ascii="Arial" w:hAnsi="Arial" w:cs="Arial"/>
          <w:b/>
          <w:bCs/>
          <w:sz w:val="26"/>
          <w:szCs w:val="26"/>
        </w:rPr>
        <w:t xml:space="preserve">bjem </w:t>
      </w:r>
      <w:r w:rsidR="00BA2004" w:rsidRPr="574DCD63">
        <w:rPr>
          <w:rFonts w:ascii="Arial" w:hAnsi="Arial" w:cs="Arial"/>
          <w:b/>
          <w:bCs/>
          <w:sz w:val="26"/>
          <w:szCs w:val="26"/>
        </w:rPr>
        <w:t xml:space="preserve">i počet </w:t>
      </w:r>
      <w:r w:rsidR="0D23EB31" w:rsidRPr="574DCD63">
        <w:rPr>
          <w:rFonts w:ascii="Arial" w:hAnsi="Arial" w:cs="Arial"/>
          <w:b/>
          <w:bCs/>
          <w:sz w:val="26"/>
          <w:szCs w:val="26"/>
        </w:rPr>
        <w:t>transakcí</w:t>
      </w:r>
      <w:r w:rsidR="58803E62" w:rsidRPr="574DCD63">
        <w:rPr>
          <w:rFonts w:ascii="Arial" w:hAnsi="Arial" w:cs="Arial"/>
          <w:b/>
          <w:bCs/>
          <w:sz w:val="26"/>
          <w:szCs w:val="26"/>
        </w:rPr>
        <w:t xml:space="preserve"> </w:t>
      </w:r>
      <w:r w:rsidR="00BA2004" w:rsidRPr="574DCD63">
        <w:rPr>
          <w:rFonts w:ascii="Arial" w:hAnsi="Arial" w:cs="Arial"/>
          <w:b/>
          <w:bCs/>
          <w:sz w:val="26"/>
          <w:szCs w:val="26"/>
        </w:rPr>
        <w:t xml:space="preserve">v ČR meziročně </w:t>
      </w:r>
      <w:r w:rsidR="00C64D57">
        <w:rPr>
          <w:rFonts w:ascii="Arial" w:hAnsi="Arial" w:cs="Arial"/>
          <w:b/>
          <w:bCs/>
          <w:sz w:val="26"/>
          <w:szCs w:val="26"/>
        </w:rPr>
        <w:t xml:space="preserve">výrazně </w:t>
      </w:r>
      <w:r w:rsidR="005500FE">
        <w:rPr>
          <w:rFonts w:ascii="Arial" w:hAnsi="Arial" w:cs="Arial"/>
          <w:b/>
          <w:bCs/>
          <w:sz w:val="26"/>
          <w:szCs w:val="26"/>
        </w:rPr>
        <w:t>klesl</w:t>
      </w:r>
    </w:p>
    <w:p w14:paraId="5CA8CB40" w14:textId="77777777" w:rsidR="007A39B8" w:rsidRPr="007A39B8" w:rsidRDefault="007A39B8" w:rsidP="007A39B8">
      <w:pPr>
        <w:pStyle w:val="Default"/>
        <w:spacing w:line="264" w:lineRule="auto"/>
        <w:jc w:val="both"/>
        <w:rPr>
          <w:rFonts w:eastAsia="Times New Roman"/>
          <w:b/>
          <w:bCs/>
          <w:sz w:val="28"/>
          <w:szCs w:val="28"/>
          <w:lang w:eastAsia="cs-CZ"/>
        </w:rPr>
      </w:pPr>
    </w:p>
    <w:p w14:paraId="4FFE4FDB" w14:textId="4349AC57" w:rsidR="005500FE" w:rsidRDefault="005500FE" w:rsidP="005500FE">
      <w:pPr>
        <w:pStyle w:val="Default"/>
        <w:spacing w:line="264" w:lineRule="auto"/>
        <w:jc w:val="both"/>
        <w:rPr>
          <w:rFonts w:eastAsia="Times New Roman"/>
          <w:b/>
          <w:bCs/>
          <w:sz w:val="22"/>
          <w:szCs w:val="22"/>
          <w:lang w:eastAsia="cs-CZ"/>
        </w:rPr>
      </w:pPr>
      <w:r w:rsidRPr="005500FE">
        <w:rPr>
          <w:rFonts w:eastAsia="Times New Roman"/>
          <w:b/>
          <w:bCs/>
          <w:sz w:val="22"/>
          <w:szCs w:val="22"/>
          <w:lang w:eastAsia="cs-CZ"/>
        </w:rPr>
        <w:t xml:space="preserve">Počet i objem transakcí na trhu fúzí a akvizic v České republice v letošním </w:t>
      </w:r>
      <w:r w:rsidR="00C64D57">
        <w:rPr>
          <w:rFonts w:eastAsia="Times New Roman"/>
          <w:b/>
          <w:bCs/>
          <w:sz w:val="22"/>
          <w:szCs w:val="22"/>
          <w:lang w:eastAsia="cs-CZ"/>
        </w:rPr>
        <w:t>třetím</w:t>
      </w:r>
      <w:r w:rsidRPr="005500FE">
        <w:rPr>
          <w:rFonts w:eastAsia="Times New Roman"/>
          <w:b/>
          <w:bCs/>
          <w:sz w:val="22"/>
          <w:szCs w:val="22"/>
          <w:lang w:eastAsia="cs-CZ"/>
        </w:rPr>
        <w:t xml:space="preserve"> čtvrtletí meziročně</w:t>
      </w:r>
      <w:r w:rsidR="00C64D57">
        <w:rPr>
          <w:rFonts w:eastAsia="Times New Roman"/>
          <w:b/>
          <w:bCs/>
          <w:sz w:val="22"/>
          <w:szCs w:val="22"/>
          <w:lang w:eastAsia="cs-CZ"/>
        </w:rPr>
        <w:t xml:space="preserve"> poměrně výrazně</w:t>
      </w:r>
      <w:r w:rsidRPr="005500FE">
        <w:rPr>
          <w:rFonts w:eastAsia="Times New Roman"/>
          <w:b/>
          <w:bCs/>
          <w:sz w:val="22"/>
          <w:szCs w:val="22"/>
          <w:lang w:eastAsia="cs-CZ"/>
        </w:rPr>
        <w:t xml:space="preserve"> klesl. </w:t>
      </w:r>
      <w:r w:rsidR="00C64D57" w:rsidRPr="00C64D57">
        <w:rPr>
          <w:rFonts w:eastAsia="Times New Roman"/>
          <w:b/>
          <w:bCs/>
          <w:sz w:val="22"/>
          <w:szCs w:val="22"/>
          <w:lang w:eastAsia="cs-CZ"/>
        </w:rPr>
        <w:t>Na území ČR či se zapojením ČR se tak uskutečnilo 10 transakcí za zhruba 39 milionů eur (987 milionů Kč). Ve stejné období loni to bylo 19 transakcí za 3,45 miliardy eur (cca 87,3 miliardy Kč).</w:t>
      </w:r>
      <w:r w:rsidR="00225EE1">
        <w:rPr>
          <w:rFonts w:eastAsia="Times New Roman"/>
          <w:b/>
          <w:bCs/>
          <w:sz w:val="22"/>
          <w:szCs w:val="22"/>
          <w:lang w:eastAsia="cs-CZ"/>
        </w:rPr>
        <w:t xml:space="preserve"> </w:t>
      </w:r>
      <w:r w:rsidR="00E76E54">
        <w:rPr>
          <w:rFonts w:eastAsia="Times New Roman"/>
          <w:b/>
          <w:bCs/>
          <w:sz w:val="22"/>
          <w:szCs w:val="22"/>
          <w:lang w:eastAsia="cs-CZ"/>
        </w:rPr>
        <w:t xml:space="preserve">To ukazuje na pokles aktivity investorů v České republice, zejména těch zahraničních. </w:t>
      </w:r>
      <w:r w:rsidR="00C64D57" w:rsidRPr="00C64D57">
        <w:rPr>
          <w:rFonts w:eastAsia="Times New Roman"/>
          <w:b/>
          <w:bCs/>
          <w:sz w:val="22"/>
          <w:szCs w:val="22"/>
          <w:lang w:eastAsia="cs-CZ"/>
        </w:rPr>
        <w:t xml:space="preserve">Největší transakcí v ČR byla v třetím čtvrtletí akvizice společnosti </w:t>
      </w:r>
      <w:proofErr w:type="spellStart"/>
      <w:r w:rsidR="00C64D57" w:rsidRPr="00C64D57">
        <w:rPr>
          <w:rFonts w:eastAsia="Times New Roman"/>
          <w:b/>
          <w:bCs/>
          <w:sz w:val="22"/>
          <w:szCs w:val="22"/>
          <w:lang w:eastAsia="cs-CZ"/>
        </w:rPr>
        <w:t>Nordic</w:t>
      </w:r>
      <w:proofErr w:type="spellEnd"/>
      <w:r w:rsidR="00C64D57" w:rsidRPr="00C64D57">
        <w:rPr>
          <w:rFonts w:eastAsia="Times New Roman"/>
          <w:b/>
          <w:bCs/>
          <w:sz w:val="22"/>
          <w:szCs w:val="22"/>
          <w:lang w:eastAsia="cs-CZ"/>
        </w:rPr>
        <w:t xml:space="preserve"> Telecom </w:t>
      </w:r>
      <w:proofErr w:type="spellStart"/>
      <w:r w:rsidR="00C64D57" w:rsidRPr="00C64D57">
        <w:rPr>
          <w:rFonts w:eastAsia="Times New Roman"/>
          <w:b/>
          <w:bCs/>
          <w:sz w:val="22"/>
          <w:szCs w:val="22"/>
          <w:lang w:eastAsia="cs-CZ"/>
        </w:rPr>
        <w:t>Regional</w:t>
      </w:r>
      <w:proofErr w:type="spellEnd"/>
      <w:r w:rsidR="00C64D57" w:rsidRPr="00C64D57">
        <w:rPr>
          <w:rFonts w:eastAsia="Times New Roman"/>
          <w:b/>
          <w:bCs/>
          <w:sz w:val="22"/>
          <w:szCs w:val="22"/>
          <w:lang w:eastAsia="cs-CZ"/>
        </w:rPr>
        <w:t xml:space="preserve"> společností O2.</w:t>
      </w:r>
      <w:r w:rsidR="005F2968">
        <w:rPr>
          <w:rFonts w:eastAsia="Times New Roman"/>
          <w:b/>
          <w:bCs/>
          <w:sz w:val="22"/>
          <w:szCs w:val="22"/>
          <w:lang w:eastAsia="cs-CZ"/>
        </w:rPr>
        <w:t xml:space="preserve"> </w:t>
      </w:r>
      <w:r w:rsidR="00D23939" w:rsidRPr="00D23939">
        <w:rPr>
          <w:rFonts w:eastAsia="Times New Roman"/>
          <w:b/>
          <w:bCs/>
          <w:sz w:val="22"/>
          <w:szCs w:val="22"/>
          <w:lang w:eastAsia="cs-CZ"/>
        </w:rPr>
        <w:t xml:space="preserve">Pro investory jsou aktuálně atraktivní sektory </w:t>
      </w:r>
      <w:r w:rsidR="00C64D57">
        <w:rPr>
          <w:rFonts w:eastAsia="Times New Roman"/>
          <w:b/>
          <w:bCs/>
          <w:sz w:val="22"/>
          <w:szCs w:val="22"/>
          <w:lang w:eastAsia="cs-CZ"/>
        </w:rPr>
        <w:t xml:space="preserve">energetiky, </w:t>
      </w:r>
      <w:r w:rsidR="00D23939" w:rsidRPr="00D23939">
        <w:rPr>
          <w:rFonts w:eastAsia="Times New Roman"/>
          <w:b/>
          <w:bCs/>
          <w:sz w:val="22"/>
          <w:szCs w:val="22"/>
          <w:lang w:eastAsia="cs-CZ"/>
        </w:rPr>
        <w:t>počítačového softwaru, automatizace, digitalizace a robotizace či telekomunikací, zvýšen</w:t>
      </w:r>
      <w:r w:rsidR="00D23939">
        <w:rPr>
          <w:rFonts w:eastAsia="Times New Roman"/>
          <w:b/>
          <w:bCs/>
          <w:sz w:val="22"/>
          <w:szCs w:val="22"/>
          <w:lang w:eastAsia="cs-CZ"/>
        </w:rPr>
        <w:t>ý</w:t>
      </w:r>
      <w:r w:rsidR="00D23939" w:rsidRPr="00D23939">
        <w:rPr>
          <w:rFonts w:eastAsia="Times New Roman"/>
          <w:b/>
          <w:bCs/>
          <w:sz w:val="22"/>
          <w:szCs w:val="22"/>
          <w:lang w:eastAsia="cs-CZ"/>
        </w:rPr>
        <w:t xml:space="preserve"> </w:t>
      </w:r>
      <w:r w:rsidR="00D23939">
        <w:rPr>
          <w:rFonts w:eastAsia="Times New Roman"/>
          <w:b/>
          <w:bCs/>
          <w:sz w:val="22"/>
          <w:szCs w:val="22"/>
          <w:lang w:eastAsia="cs-CZ"/>
        </w:rPr>
        <w:t>zájem</w:t>
      </w:r>
      <w:r w:rsidR="00D23939" w:rsidRPr="00D23939">
        <w:rPr>
          <w:rFonts w:eastAsia="Times New Roman"/>
          <w:b/>
          <w:bCs/>
          <w:sz w:val="22"/>
          <w:szCs w:val="22"/>
          <w:lang w:eastAsia="cs-CZ"/>
        </w:rPr>
        <w:t xml:space="preserve"> zůstává </w:t>
      </w:r>
      <w:r w:rsidR="00D23939">
        <w:rPr>
          <w:rFonts w:eastAsia="Times New Roman"/>
          <w:b/>
          <w:bCs/>
          <w:sz w:val="22"/>
          <w:szCs w:val="22"/>
          <w:lang w:eastAsia="cs-CZ"/>
        </w:rPr>
        <w:t>o</w:t>
      </w:r>
      <w:r w:rsidR="00D23939" w:rsidRPr="00D23939">
        <w:rPr>
          <w:rFonts w:eastAsia="Times New Roman"/>
          <w:b/>
          <w:bCs/>
          <w:sz w:val="22"/>
          <w:szCs w:val="22"/>
          <w:lang w:eastAsia="cs-CZ"/>
        </w:rPr>
        <w:t xml:space="preserve"> oblast zdravotnictví a finančních služeb</w:t>
      </w:r>
      <w:r w:rsidR="00D23939">
        <w:rPr>
          <w:rFonts w:eastAsia="Times New Roman"/>
          <w:b/>
          <w:bCs/>
          <w:sz w:val="22"/>
          <w:szCs w:val="22"/>
          <w:lang w:eastAsia="cs-CZ"/>
        </w:rPr>
        <w:t>.</w:t>
      </w:r>
      <w:r w:rsidR="00D23939" w:rsidRPr="00D23939">
        <w:rPr>
          <w:rFonts w:eastAsia="Times New Roman"/>
          <w:b/>
          <w:bCs/>
          <w:sz w:val="22"/>
          <w:szCs w:val="22"/>
          <w:lang w:eastAsia="cs-CZ"/>
        </w:rPr>
        <w:t xml:space="preserve"> </w:t>
      </w:r>
      <w:r w:rsidR="00D23939" w:rsidRPr="005500FE">
        <w:rPr>
          <w:rFonts w:eastAsia="Times New Roman"/>
          <w:b/>
          <w:bCs/>
          <w:sz w:val="22"/>
          <w:szCs w:val="22"/>
          <w:lang w:eastAsia="cs-CZ"/>
        </w:rPr>
        <w:t>Vyplývá to ze statistik poradenské společnosti TPA.</w:t>
      </w:r>
    </w:p>
    <w:p w14:paraId="2AC50AFB" w14:textId="77777777" w:rsidR="00C64D57" w:rsidRDefault="00C64D57" w:rsidP="005500FE">
      <w:pPr>
        <w:pStyle w:val="Default"/>
        <w:spacing w:line="264" w:lineRule="auto"/>
        <w:jc w:val="both"/>
        <w:rPr>
          <w:rFonts w:eastAsia="Times New Roman"/>
          <w:b/>
          <w:bCs/>
          <w:sz w:val="22"/>
          <w:szCs w:val="22"/>
          <w:lang w:eastAsia="cs-CZ"/>
        </w:rPr>
      </w:pPr>
    </w:p>
    <w:p w14:paraId="7A7A8B80" w14:textId="7AEE034B" w:rsidR="00C64D57" w:rsidRPr="00225EE1" w:rsidRDefault="00C64D57" w:rsidP="00225EE1">
      <w:pPr>
        <w:jc w:val="both"/>
        <w:rPr>
          <w:rFonts w:ascii="Arial" w:hAnsi="Arial" w:cs="Arial"/>
        </w:rPr>
      </w:pPr>
      <w:r w:rsidRPr="00225EE1">
        <w:rPr>
          <w:rFonts w:ascii="Arial" w:hAnsi="Arial" w:cs="Arial"/>
        </w:rPr>
        <w:t xml:space="preserve">Akvizici společnosti </w:t>
      </w:r>
      <w:proofErr w:type="spellStart"/>
      <w:r w:rsidRPr="00225EE1">
        <w:rPr>
          <w:rFonts w:ascii="Arial" w:hAnsi="Arial" w:cs="Arial"/>
        </w:rPr>
        <w:t>Nordic</w:t>
      </w:r>
      <w:proofErr w:type="spellEnd"/>
      <w:r w:rsidRPr="00225EE1">
        <w:rPr>
          <w:rFonts w:ascii="Arial" w:hAnsi="Arial" w:cs="Arial"/>
        </w:rPr>
        <w:t xml:space="preserve"> Telecom </w:t>
      </w:r>
      <w:proofErr w:type="spellStart"/>
      <w:r w:rsidRPr="00225EE1">
        <w:rPr>
          <w:rFonts w:ascii="Arial" w:hAnsi="Arial" w:cs="Arial"/>
        </w:rPr>
        <w:t>Regional</w:t>
      </w:r>
      <w:proofErr w:type="spellEnd"/>
      <w:r w:rsidRPr="00225EE1">
        <w:rPr>
          <w:rFonts w:ascii="Arial" w:hAnsi="Arial" w:cs="Arial"/>
        </w:rPr>
        <w:t xml:space="preserve">, která patří do skupiny </w:t>
      </w:r>
      <w:proofErr w:type="spellStart"/>
      <w:r w:rsidRPr="00225EE1">
        <w:rPr>
          <w:rFonts w:ascii="Arial" w:hAnsi="Arial" w:cs="Arial"/>
        </w:rPr>
        <w:t>Nordic</w:t>
      </w:r>
      <w:proofErr w:type="spellEnd"/>
      <w:r w:rsidRPr="00225EE1">
        <w:rPr>
          <w:rFonts w:ascii="Arial" w:hAnsi="Arial" w:cs="Arial"/>
        </w:rPr>
        <w:t xml:space="preserve"> Telecom Holding, povolil Úřad pro ochranu hospodářské soutěže na konci září. Zároveň stanovil podmínky, které bude muset společnost O2 dodržet, aby nedošlo k narušení hospodářské soutěže. </w:t>
      </w:r>
    </w:p>
    <w:p w14:paraId="18C7922F" w14:textId="77777777" w:rsidR="00C64D57" w:rsidRDefault="00C64D57" w:rsidP="00AD0D2A">
      <w:pPr>
        <w:pStyle w:val="Default"/>
        <w:spacing w:line="264" w:lineRule="auto"/>
        <w:jc w:val="both"/>
        <w:rPr>
          <w:rFonts w:eastAsia="Calibri"/>
          <w:color w:val="auto"/>
          <w:sz w:val="22"/>
          <w:szCs w:val="22"/>
        </w:rPr>
      </w:pPr>
      <w:r w:rsidRPr="00C64D57">
        <w:rPr>
          <w:rFonts w:eastAsia="Calibri"/>
          <w:color w:val="auto"/>
          <w:sz w:val="22"/>
          <w:szCs w:val="22"/>
        </w:rPr>
        <w:t>V celém středoevropském regionu (Albánie, Bulharsko, Černá Hora, Česká republika, Chorvatsko, Maďarsko, Polsko, Rakousko, Rumunsko, Slovensko, Slovinsko a Srbsko) klesl meziročně počet transakcí o 53 na 187. Jejich objem zároveň klesl na 4,8 miliardy eur (zhruba 121 miliard Kč) z 22,5 miliardy eur (zhruba 569 miliard Kč) ve stejném období loni. Nejvíce transakcí bylo zaznamenáno opět v Polsku, zemí s největším objemem se stalo Rakousko.</w:t>
      </w:r>
    </w:p>
    <w:p w14:paraId="172A2F8F" w14:textId="77777777" w:rsidR="00C64D57" w:rsidRDefault="00C64D57" w:rsidP="00AD0D2A">
      <w:pPr>
        <w:pStyle w:val="Default"/>
        <w:spacing w:line="264" w:lineRule="auto"/>
        <w:jc w:val="both"/>
        <w:rPr>
          <w:rFonts w:eastAsia="Calibri"/>
          <w:color w:val="auto"/>
          <w:sz w:val="22"/>
          <w:szCs w:val="22"/>
        </w:rPr>
      </w:pPr>
    </w:p>
    <w:p w14:paraId="700C8ACE" w14:textId="0C4848B5" w:rsidR="00C64D57" w:rsidRPr="00E9566A" w:rsidRDefault="00C64D57" w:rsidP="00AD0D2A">
      <w:pPr>
        <w:pStyle w:val="Default"/>
        <w:spacing w:line="264" w:lineRule="auto"/>
        <w:jc w:val="both"/>
        <w:rPr>
          <w:rFonts w:eastAsia="Calibri"/>
          <w:i/>
          <w:iCs/>
          <w:color w:val="auto"/>
          <w:sz w:val="22"/>
          <w:szCs w:val="22"/>
        </w:rPr>
      </w:pPr>
      <w:r w:rsidRPr="00E30CAC">
        <w:rPr>
          <w:rFonts w:eastAsia="Calibri"/>
          <w:i/>
          <w:iCs/>
          <w:color w:val="auto"/>
          <w:sz w:val="22"/>
          <w:szCs w:val="22"/>
        </w:rPr>
        <w:t xml:space="preserve">„Oproti stejnému období loňského roku, které bylo historicky druhé nejvýraznější, došlo k uskutečnění menšího počtu transakcí a zároveň klesl i jejich objem. </w:t>
      </w:r>
      <w:r w:rsidR="00E9566A">
        <w:rPr>
          <w:rFonts w:eastAsia="Calibri"/>
          <w:i/>
          <w:iCs/>
          <w:color w:val="auto"/>
          <w:sz w:val="22"/>
          <w:szCs w:val="22"/>
        </w:rPr>
        <w:t xml:space="preserve"> </w:t>
      </w:r>
      <w:r w:rsidRPr="00E30CAC">
        <w:rPr>
          <w:rFonts w:eastAsia="Calibri"/>
          <w:i/>
          <w:iCs/>
          <w:color w:val="auto"/>
          <w:sz w:val="22"/>
          <w:szCs w:val="22"/>
        </w:rPr>
        <w:t>Nejvýznamnější v letošním třetím čtvrtletí bylo v regionu z pohledu objemu transakcí odvětví energetiky. Největší zaznamenaná transakce se pak uskutečnila v telekomunikacích,“</w:t>
      </w:r>
      <w:r w:rsidRPr="00C64D57">
        <w:rPr>
          <w:rFonts w:eastAsia="Calibri"/>
          <w:color w:val="auto"/>
          <w:sz w:val="22"/>
          <w:szCs w:val="22"/>
        </w:rPr>
        <w:t xml:space="preserve"> uvedl</w:t>
      </w:r>
      <w:r w:rsidR="00E30CAC">
        <w:rPr>
          <w:rFonts w:eastAsia="Calibri"/>
          <w:color w:val="auto"/>
          <w:sz w:val="22"/>
          <w:szCs w:val="22"/>
        </w:rPr>
        <w:t xml:space="preserve"> </w:t>
      </w:r>
      <w:r w:rsidR="00E30CAC" w:rsidRPr="00965886">
        <w:rPr>
          <w:rFonts w:eastAsia="Times New Roman"/>
          <w:sz w:val="22"/>
          <w:szCs w:val="22"/>
          <w:lang w:eastAsia="cs-CZ"/>
        </w:rPr>
        <w:t xml:space="preserve">Jiří Hlaváč partner TPA </w:t>
      </w:r>
      <w:proofErr w:type="spellStart"/>
      <w:r w:rsidR="00E30CAC" w:rsidRPr="00965886">
        <w:rPr>
          <w:rFonts w:eastAsia="Times New Roman"/>
          <w:sz w:val="22"/>
          <w:szCs w:val="22"/>
          <w:lang w:eastAsia="cs-CZ"/>
        </w:rPr>
        <w:t>Valuation</w:t>
      </w:r>
      <w:proofErr w:type="spellEnd"/>
      <w:r w:rsidR="00E30CAC" w:rsidRPr="00965886">
        <w:rPr>
          <w:rFonts w:eastAsia="Times New Roman"/>
          <w:sz w:val="22"/>
          <w:szCs w:val="22"/>
          <w:lang w:eastAsia="cs-CZ"/>
        </w:rPr>
        <w:t xml:space="preserve"> &amp; Advisory.</w:t>
      </w:r>
    </w:p>
    <w:p w14:paraId="198794B1" w14:textId="77777777" w:rsidR="00C64D57" w:rsidRDefault="00C64D57" w:rsidP="00AD0D2A">
      <w:pPr>
        <w:pStyle w:val="Default"/>
        <w:spacing w:line="264" w:lineRule="auto"/>
        <w:jc w:val="both"/>
        <w:rPr>
          <w:rFonts w:eastAsia="Calibri"/>
          <w:color w:val="auto"/>
          <w:sz w:val="22"/>
          <w:szCs w:val="22"/>
        </w:rPr>
      </w:pPr>
    </w:p>
    <w:p w14:paraId="38A01EA3" w14:textId="174CABF4" w:rsidR="00E30CAC" w:rsidRPr="00E9566A" w:rsidRDefault="00E30CAC" w:rsidP="00E30CAC">
      <w:pPr>
        <w:jc w:val="both"/>
        <w:rPr>
          <w:rFonts w:ascii="Arial" w:hAnsi="Arial" w:cs="Arial"/>
        </w:rPr>
      </w:pPr>
      <w:r w:rsidRPr="00E9566A">
        <w:rPr>
          <w:rFonts w:ascii="Arial" w:hAnsi="Arial" w:cs="Arial"/>
        </w:rPr>
        <w:t xml:space="preserve">Nejvýznamnější zveřejněnou transakcí v celém regionu byl prodej 100% podílu rakouské telekomunikační společnosti </w:t>
      </w:r>
      <w:proofErr w:type="spellStart"/>
      <w:r w:rsidRPr="00E9566A">
        <w:rPr>
          <w:rFonts w:ascii="Arial" w:hAnsi="Arial" w:cs="Arial"/>
        </w:rPr>
        <w:t>OnTower</w:t>
      </w:r>
      <w:proofErr w:type="spellEnd"/>
      <w:r w:rsidRPr="00E9566A">
        <w:rPr>
          <w:rFonts w:ascii="Arial" w:hAnsi="Arial" w:cs="Arial"/>
        </w:rPr>
        <w:t xml:space="preserve"> </w:t>
      </w:r>
      <w:proofErr w:type="spellStart"/>
      <w:r w:rsidRPr="00E9566A">
        <w:rPr>
          <w:rFonts w:ascii="Arial" w:hAnsi="Arial" w:cs="Arial"/>
        </w:rPr>
        <w:t>Austria</w:t>
      </w:r>
      <w:proofErr w:type="spellEnd"/>
      <w:r w:rsidRPr="00E9566A">
        <w:rPr>
          <w:rFonts w:ascii="Arial" w:hAnsi="Arial" w:cs="Arial"/>
        </w:rPr>
        <w:t xml:space="preserve"> </w:t>
      </w:r>
      <w:proofErr w:type="spellStart"/>
      <w:r w:rsidRPr="00E9566A">
        <w:rPr>
          <w:rFonts w:ascii="Arial" w:hAnsi="Arial" w:cs="Arial"/>
        </w:rPr>
        <w:t>GmbH</w:t>
      </w:r>
      <w:proofErr w:type="spellEnd"/>
      <w:r w:rsidRPr="00E9566A">
        <w:rPr>
          <w:rFonts w:ascii="Arial" w:hAnsi="Arial" w:cs="Arial"/>
        </w:rPr>
        <w:t xml:space="preserve"> konsorciu vedeném francouzskou společností </w:t>
      </w:r>
      <w:proofErr w:type="spellStart"/>
      <w:r w:rsidRPr="00E9566A">
        <w:rPr>
          <w:rFonts w:ascii="Arial" w:hAnsi="Arial" w:cs="Arial"/>
        </w:rPr>
        <w:t>Vauban</w:t>
      </w:r>
      <w:proofErr w:type="spellEnd"/>
      <w:r w:rsidRPr="00E9566A">
        <w:rPr>
          <w:rFonts w:ascii="Arial" w:hAnsi="Arial" w:cs="Arial"/>
        </w:rPr>
        <w:t xml:space="preserve"> </w:t>
      </w:r>
      <w:proofErr w:type="spellStart"/>
      <w:r w:rsidRPr="00E9566A">
        <w:rPr>
          <w:rFonts w:ascii="Arial" w:hAnsi="Arial" w:cs="Arial"/>
        </w:rPr>
        <w:t>Infrastracture</w:t>
      </w:r>
      <w:proofErr w:type="spellEnd"/>
      <w:r w:rsidRPr="00E9566A">
        <w:rPr>
          <w:rFonts w:ascii="Arial" w:hAnsi="Arial" w:cs="Arial"/>
        </w:rPr>
        <w:t xml:space="preserve"> </w:t>
      </w:r>
      <w:proofErr w:type="spellStart"/>
      <w:r w:rsidRPr="00E9566A">
        <w:rPr>
          <w:rFonts w:ascii="Arial" w:hAnsi="Arial" w:cs="Arial"/>
        </w:rPr>
        <w:t>Partners</w:t>
      </w:r>
      <w:proofErr w:type="spellEnd"/>
      <w:r w:rsidRPr="00E9566A">
        <w:rPr>
          <w:rFonts w:ascii="Arial" w:hAnsi="Arial" w:cs="Arial"/>
        </w:rPr>
        <w:t xml:space="preserve"> s partnery EDF Invest a MEAG. Španělská společnost </w:t>
      </w:r>
      <w:proofErr w:type="spellStart"/>
      <w:r w:rsidRPr="00E9566A">
        <w:rPr>
          <w:rFonts w:ascii="Arial" w:hAnsi="Arial" w:cs="Arial"/>
        </w:rPr>
        <w:t>Cellnex</w:t>
      </w:r>
      <w:proofErr w:type="spellEnd"/>
      <w:r w:rsidRPr="00E9566A">
        <w:rPr>
          <w:rFonts w:ascii="Arial" w:hAnsi="Arial" w:cs="Arial"/>
        </w:rPr>
        <w:t xml:space="preserve"> Telecom SA prodává </w:t>
      </w:r>
      <w:proofErr w:type="spellStart"/>
      <w:r w:rsidRPr="00E9566A">
        <w:rPr>
          <w:rFonts w:ascii="Arial" w:hAnsi="Arial" w:cs="Arial"/>
        </w:rPr>
        <w:t>OnTower</w:t>
      </w:r>
      <w:proofErr w:type="spellEnd"/>
      <w:r w:rsidRPr="00E9566A">
        <w:rPr>
          <w:rFonts w:ascii="Arial" w:hAnsi="Arial" w:cs="Arial"/>
        </w:rPr>
        <w:t xml:space="preserve"> </w:t>
      </w:r>
      <w:proofErr w:type="spellStart"/>
      <w:r w:rsidRPr="00E9566A">
        <w:rPr>
          <w:rFonts w:ascii="Arial" w:hAnsi="Arial" w:cs="Arial"/>
        </w:rPr>
        <w:t>Austria</w:t>
      </w:r>
      <w:proofErr w:type="spellEnd"/>
      <w:r w:rsidRPr="00E9566A">
        <w:rPr>
          <w:rFonts w:ascii="Arial" w:hAnsi="Arial" w:cs="Arial"/>
        </w:rPr>
        <w:t xml:space="preserve"> s cílem zjednodušit korporátní strukturu a soustředit se více na ostatní trhy, ve kterých nejvíce operuje. </w:t>
      </w:r>
      <w:r w:rsidRPr="00E9566A">
        <w:rPr>
          <w:rFonts w:ascii="Arial" w:hAnsi="Arial" w:cs="Arial"/>
          <w:i/>
          <w:iCs/>
        </w:rPr>
        <w:t>„Transakce byla oceněna na 803 milionů eur. Obě strany jsou již domluvené, nicméně v čase zpracování tohoto reportu se ještě čeká na schválení příslušných regulatorních úřadů,“</w:t>
      </w:r>
      <w:r w:rsidRPr="00E9566A">
        <w:rPr>
          <w:rFonts w:ascii="Arial" w:hAnsi="Arial" w:cs="Arial"/>
        </w:rPr>
        <w:t xml:space="preserve"> upozornil Jiří Hlaváč.</w:t>
      </w:r>
    </w:p>
    <w:p w14:paraId="119C8C53" w14:textId="4777B0A5" w:rsidR="00E30CAC" w:rsidRPr="00E9566A" w:rsidRDefault="00E30CAC" w:rsidP="00E30CAC">
      <w:pPr>
        <w:jc w:val="both"/>
        <w:rPr>
          <w:rFonts w:ascii="Arial" w:hAnsi="Arial" w:cs="Arial"/>
          <w:i/>
          <w:iCs/>
        </w:rPr>
      </w:pPr>
      <w:r w:rsidRPr="00E9566A">
        <w:rPr>
          <w:rFonts w:ascii="Arial" w:hAnsi="Arial" w:cs="Arial"/>
        </w:rPr>
        <w:t xml:space="preserve">Pro investory jsou podle Hlaváče stále atraktivní sektory počítačového softwaru, automatizace, digitalizace a robotizace či telekomunikací. Zvýšený zájem stále zůstává o investice v oblasti energetiky, zdravotnictví a finančních služeb. </w:t>
      </w:r>
      <w:r w:rsidRPr="00E9566A">
        <w:rPr>
          <w:rFonts w:ascii="Arial" w:hAnsi="Arial" w:cs="Arial"/>
          <w:i/>
          <w:iCs/>
        </w:rPr>
        <w:t xml:space="preserve">„Situaci na trhu dále ovlivňuje konflikt na Ukrajině, který je pro potenciální investory pokračujícím omezením v podobě nejistoty budoucího vývoje v celém regionu,“ </w:t>
      </w:r>
      <w:r w:rsidRPr="00E9566A">
        <w:rPr>
          <w:rFonts w:ascii="Arial" w:hAnsi="Arial" w:cs="Arial"/>
        </w:rPr>
        <w:t>doplnil Jiří Hlaváč.</w:t>
      </w:r>
    </w:p>
    <w:p w14:paraId="3DBFFE21" w14:textId="77777777" w:rsidR="00E30CAC" w:rsidRPr="00E9566A" w:rsidRDefault="00E30CAC" w:rsidP="00E30CAC">
      <w:pPr>
        <w:rPr>
          <w:rFonts w:ascii="Arial" w:hAnsi="Arial" w:cs="Arial"/>
        </w:rPr>
      </w:pPr>
    </w:p>
    <w:p w14:paraId="098517C0" w14:textId="54F62A72" w:rsidR="00E30CAC" w:rsidRPr="00E9566A" w:rsidRDefault="00E30CAC" w:rsidP="0094373B">
      <w:pPr>
        <w:jc w:val="both"/>
        <w:rPr>
          <w:rFonts w:ascii="Arial" w:hAnsi="Arial" w:cs="Arial"/>
          <w:i/>
          <w:iCs/>
        </w:rPr>
      </w:pPr>
      <w:r w:rsidRPr="00E9566A">
        <w:rPr>
          <w:rFonts w:ascii="Arial" w:hAnsi="Arial" w:cs="Arial"/>
        </w:rPr>
        <w:t xml:space="preserve">Ve srovnání s druhým čtvrtletím letošního roku v celém regionu klesl počet transakcí o 51. Zároveň jejich objem klesl o zhruba 5,3 miliardy eur. V Česku počet transakcí mezičtvrtletně klesl o 14 a objem o 168 milionů eur (207 milionů eur v 2. čtvrtletí 2024 vs. 39 milionů eur v 1. čtvrtletí). </w:t>
      </w:r>
      <w:r w:rsidRPr="00E9566A">
        <w:rPr>
          <w:rFonts w:ascii="Arial" w:hAnsi="Arial" w:cs="Arial"/>
          <w:i/>
          <w:iCs/>
        </w:rPr>
        <w:t xml:space="preserve">„Za třetí čtvrtletí byla na území ČR zaznamenána pouze jediná transakce se známou hodnotou, která proběhla v telekomunikačním odvětví. </w:t>
      </w:r>
      <w:r w:rsidR="00E9566A" w:rsidRPr="00E9566A">
        <w:rPr>
          <w:rFonts w:ascii="Arial" w:hAnsi="Arial" w:cs="Arial"/>
          <w:i/>
          <w:iCs/>
        </w:rPr>
        <w:t>Kvůli malému výskytu tak došlo k výraznému snížení v objemu transakcí oproti minulému kvartálu, a to o 80 %</w:t>
      </w:r>
      <w:r w:rsidRPr="00E9566A">
        <w:rPr>
          <w:rFonts w:ascii="Arial" w:hAnsi="Arial" w:cs="Arial"/>
          <w:i/>
          <w:iCs/>
        </w:rPr>
        <w:t>,“</w:t>
      </w:r>
      <w:r w:rsidRPr="00E9566A">
        <w:rPr>
          <w:rFonts w:ascii="Arial" w:hAnsi="Arial" w:cs="Arial"/>
        </w:rPr>
        <w:t xml:space="preserve"> upozornil Hlaváč.</w:t>
      </w:r>
      <w:r w:rsidR="00E76E54">
        <w:rPr>
          <w:rFonts w:ascii="Arial" w:hAnsi="Arial" w:cs="Arial"/>
        </w:rPr>
        <w:t xml:space="preserve"> Doplnil, že </w:t>
      </w:r>
      <w:r w:rsidR="00E76E54" w:rsidRPr="00225EE1">
        <w:rPr>
          <w:rFonts w:ascii="Arial" w:hAnsi="Arial" w:cs="Arial"/>
          <w:i/>
          <w:iCs/>
        </w:rPr>
        <w:t xml:space="preserve">„podíl zahraničních investorů </w:t>
      </w:r>
      <w:r w:rsidR="00E76E54">
        <w:rPr>
          <w:rFonts w:ascii="Arial" w:hAnsi="Arial" w:cs="Arial"/>
          <w:i/>
          <w:iCs/>
        </w:rPr>
        <w:t>na transakcích</w:t>
      </w:r>
      <w:r w:rsidR="00E76E54" w:rsidRPr="00225EE1">
        <w:rPr>
          <w:rFonts w:ascii="Arial" w:hAnsi="Arial" w:cs="Arial"/>
          <w:i/>
          <w:iCs/>
        </w:rPr>
        <w:t xml:space="preserve"> </w:t>
      </w:r>
      <w:r w:rsidR="00E76E54" w:rsidRPr="00E82B6C">
        <w:rPr>
          <w:rFonts w:ascii="Arial" w:hAnsi="Arial" w:cs="Arial"/>
          <w:i/>
          <w:iCs/>
        </w:rPr>
        <w:t>v</w:t>
      </w:r>
      <w:r w:rsidR="00E76E54">
        <w:rPr>
          <w:rFonts w:ascii="Arial" w:hAnsi="Arial" w:cs="Arial"/>
          <w:i/>
          <w:iCs/>
        </w:rPr>
        <w:t> </w:t>
      </w:r>
      <w:r w:rsidR="00E76E54" w:rsidRPr="00E82B6C">
        <w:rPr>
          <w:rFonts w:ascii="Arial" w:hAnsi="Arial" w:cs="Arial"/>
          <w:i/>
          <w:iCs/>
        </w:rPr>
        <w:t>ČR</w:t>
      </w:r>
      <w:r w:rsidR="00E76E54">
        <w:rPr>
          <w:rFonts w:ascii="Arial" w:hAnsi="Arial" w:cs="Arial"/>
          <w:i/>
          <w:iCs/>
        </w:rPr>
        <w:t xml:space="preserve"> </w:t>
      </w:r>
      <w:r w:rsidR="00E76E54" w:rsidRPr="00225EE1">
        <w:rPr>
          <w:rFonts w:ascii="Arial" w:hAnsi="Arial" w:cs="Arial"/>
          <w:i/>
          <w:iCs/>
        </w:rPr>
        <w:t>dlouhodobě klesá a pohybuje se aktuálně okolo 20 %“</w:t>
      </w:r>
      <w:r w:rsidR="00E76E54">
        <w:rPr>
          <w:rFonts w:ascii="Arial" w:hAnsi="Arial" w:cs="Arial"/>
        </w:rPr>
        <w:t xml:space="preserve">. </w:t>
      </w:r>
    </w:p>
    <w:p w14:paraId="548DCABA" w14:textId="77777777" w:rsidR="00F41FA0" w:rsidRPr="00F41FA0" w:rsidRDefault="00F41FA0" w:rsidP="00F41FA0">
      <w:pPr>
        <w:rPr>
          <w:rFonts w:ascii="Arial" w:hAnsi="Arial" w:cs="Arial"/>
        </w:rPr>
      </w:pPr>
    </w:p>
    <w:p w14:paraId="368A6582" w14:textId="77777777" w:rsidR="00021254" w:rsidRDefault="00021254" w:rsidP="003916F2">
      <w:pPr>
        <w:pStyle w:val="F2-zkladn"/>
        <w:tabs>
          <w:tab w:val="right" w:pos="9070"/>
        </w:tabs>
        <w:spacing w:before="0" w:line="240" w:lineRule="auto"/>
        <w:rPr>
          <w:b/>
        </w:rPr>
      </w:pPr>
    </w:p>
    <w:p w14:paraId="766502C4" w14:textId="77777777" w:rsidR="00EB1C5A" w:rsidRPr="007A39B8" w:rsidRDefault="00EB1C5A" w:rsidP="007A39B8">
      <w:pPr>
        <w:pStyle w:val="F2-zkladn"/>
        <w:tabs>
          <w:tab w:val="right" w:pos="9070"/>
        </w:tabs>
        <w:spacing w:before="0" w:line="264" w:lineRule="auto"/>
        <w:rPr>
          <w:b/>
        </w:rPr>
      </w:pPr>
      <w:r w:rsidRPr="007A39B8">
        <w:rPr>
          <w:b/>
        </w:rPr>
        <w:t>Pro více informací kontaktujte:</w:t>
      </w:r>
    </w:p>
    <w:p w14:paraId="1C28118A" w14:textId="73FE04A0" w:rsidR="00EB1C5A" w:rsidRPr="007A39B8" w:rsidRDefault="002A3294" w:rsidP="007A39B8">
      <w:pPr>
        <w:spacing w:after="0" w:line="264" w:lineRule="auto"/>
        <w:rPr>
          <w:rFonts w:ascii="Arial" w:hAnsi="Arial" w:cs="Arial"/>
          <w:sz w:val="20"/>
          <w:szCs w:val="20"/>
        </w:rPr>
      </w:pPr>
      <w:r w:rsidRPr="007A39B8">
        <w:rPr>
          <w:rFonts w:ascii="Arial" w:hAnsi="Arial" w:cs="Arial"/>
          <w:sz w:val="20"/>
          <w:szCs w:val="20"/>
        </w:rPr>
        <w:t xml:space="preserve">Kamila </w:t>
      </w:r>
      <w:proofErr w:type="spellStart"/>
      <w:r w:rsidRPr="007A39B8">
        <w:rPr>
          <w:rFonts w:ascii="Arial" w:hAnsi="Arial" w:cs="Arial"/>
          <w:sz w:val="20"/>
          <w:szCs w:val="20"/>
        </w:rPr>
        <w:t>Žitnáková</w:t>
      </w:r>
      <w:proofErr w:type="spellEnd"/>
    </w:p>
    <w:p w14:paraId="4835AA2F" w14:textId="77777777" w:rsidR="00EB1C5A" w:rsidRPr="007A39B8" w:rsidRDefault="00EB1C5A" w:rsidP="007A39B8">
      <w:pPr>
        <w:spacing w:after="0" w:line="264" w:lineRule="auto"/>
        <w:rPr>
          <w:rFonts w:ascii="Arial" w:hAnsi="Arial" w:cs="Arial"/>
          <w:b/>
          <w:bCs/>
          <w:sz w:val="20"/>
          <w:szCs w:val="20"/>
        </w:rPr>
      </w:pPr>
      <w:proofErr w:type="spellStart"/>
      <w:r w:rsidRPr="007A39B8">
        <w:rPr>
          <w:rFonts w:ascii="Arial" w:hAnsi="Arial" w:cs="Arial"/>
          <w:b/>
          <w:bCs/>
          <w:sz w:val="20"/>
          <w:szCs w:val="20"/>
        </w:rPr>
        <w:t>Crest</w:t>
      </w:r>
      <w:proofErr w:type="spellEnd"/>
      <w:r w:rsidRPr="007A39B8">
        <w:rPr>
          <w:rFonts w:ascii="Arial" w:hAnsi="Arial" w:cs="Arial"/>
          <w:b/>
          <w:bCs/>
          <w:sz w:val="20"/>
          <w:szCs w:val="20"/>
        </w:rPr>
        <w:t xml:space="preserve"> Communications, a.s.</w:t>
      </w:r>
    </w:p>
    <w:p w14:paraId="4DCE98C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Ostrovní 126/30</w:t>
      </w:r>
    </w:p>
    <w:p w14:paraId="09C6E92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110 00 Praha 1</w:t>
      </w:r>
    </w:p>
    <w:p w14:paraId="2EEA2F44" w14:textId="5E276D42" w:rsidR="00EB1C5A" w:rsidRPr="007A39B8" w:rsidRDefault="00EB1C5A" w:rsidP="007A39B8">
      <w:pPr>
        <w:spacing w:after="0" w:line="264" w:lineRule="auto"/>
        <w:rPr>
          <w:rFonts w:ascii="Arial" w:hAnsi="Arial" w:cs="Arial"/>
          <w:sz w:val="20"/>
          <w:szCs w:val="20"/>
        </w:rPr>
      </w:pPr>
      <w:proofErr w:type="spellStart"/>
      <w:r w:rsidRPr="007A39B8">
        <w:rPr>
          <w:rFonts w:ascii="Arial" w:hAnsi="Arial" w:cs="Arial"/>
          <w:sz w:val="20"/>
          <w:szCs w:val="20"/>
        </w:rPr>
        <w:t>gsm</w:t>
      </w:r>
      <w:proofErr w:type="spellEnd"/>
      <w:r w:rsidRPr="007A39B8">
        <w:rPr>
          <w:rFonts w:ascii="Arial" w:hAnsi="Arial" w:cs="Arial"/>
          <w:sz w:val="20"/>
          <w:szCs w:val="20"/>
        </w:rPr>
        <w:t xml:space="preserve">: + 420 </w:t>
      </w:r>
      <w:r w:rsidR="003D5F96" w:rsidRPr="007A39B8">
        <w:rPr>
          <w:rFonts w:ascii="Arial" w:hAnsi="Arial" w:cs="Arial"/>
          <w:sz w:val="20"/>
          <w:szCs w:val="20"/>
        </w:rPr>
        <w:t>725 544 106</w:t>
      </w:r>
    </w:p>
    <w:p w14:paraId="692417D8" w14:textId="77777777" w:rsidR="00EB1C5A" w:rsidRPr="007A39B8" w:rsidRDefault="00EB1C5A" w:rsidP="007A39B8">
      <w:pPr>
        <w:spacing w:after="0" w:line="264" w:lineRule="auto"/>
        <w:rPr>
          <w:rFonts w:ascii="Arial" w:hAnsi="Arial" w:cs="Arial"/>
          <w:sz w:val="20"/>
          <w:szCs w:val="20"/>
        </w:rPr>
      </w:pPr>
      <w:hyperlink w:tooltip="blocked::http://www.crestcom.cz&#10;http://www.crestcom.cz/" w:history="1">
        <w:r w:rsidRPr="007A39B8">
          <w:rPr>
            <w:rStyle w:val="Hypertextovodkaz"/>
            <w:rFonts w:ascii="Arial" w:hAnsi="Arial" w:cs="Arial"/>
            <w:color w:val="990033"/>
            <w:sz w:val="20"/>
            <w:szCs w:val="20"/>
          </w:rPr>
          <w:t>www.crestcom.cz</w:t>
        </w:r>
      </w:hyperlink>
    </w:p>
    <w:p w14:paraId="28B3B900" w14:textId="5CDD139B" w:rsidR="00316D20" w:rsidRPr="007A39B8" w:rsidRDefault="00EB1C5A" w:rsidP="007A39B8">
      <w:pPr>
        <w:spacing w:after="0" w:line="264" w:lineRule="auto"/>
        <w:rPr>
          <w:rStyle w:val="Hypertextovodkaz"/>
          <w:rFonts w:ascii="Arial" w:hAnsi="Arial" w:cs="Arial"/>
          <w:color w:val="990033"/>
          <w:sz w:val="20"/>
          <w:szCs w:val="20"/>
        </w:rPr>
      </w:pPr>
      <w:r w:rsidRPr="007A39B8">
        <w:rPr>
          <w:rFonts w:ascii="Arial" w:hAnsi="Arial" w:cs="Arial"/>
          <w:color w:val="000000"/>
          <w:sz w:val="20"/>
          <w:szCs w:val="20"/>
        </w:rPr>
        <w:t xml:space="preserve">e-mail: </w:t>
      </w:r>
      <w:hyperlink r:id="rId10" w:history="1">
        <w:r w:rsidR="002A3294" w:rsidRPr="007A39B8">
          <w:rPr>
            <w:rStyle w:val="Hypertextovodkaz"/>
            <w:rFonts w:ascii="Arial" w:hAnsi="Arial" w:cs="Arial"/>
            <w:sz w:val="20"/>
            <w:szCs w:val="20"/>
          </w:rPr>
          <w:t>kamila.zitnakova@crestcom.cz</w:t>
        </w:r>
      </w:hyperlink>
    </w:p>
    <w:p w14:paraId="0C9BF7BF" w14:textId="77777777" w:rsidR="002A3294" w:rsidRDefault="002A3294" w:rsidP="007A39B8">
      <w:pPr>
        <w:spacing w:after="0" w:line="264" w:lineRule="auto"/>
        <w:rPr>
          <w:rStyle w:val="Hypertextovodkaz"/>
          <w:rFonts w:ascii="Arial" w:hAnsi="Arial" w:cs="Arial"/>
          <w:color w:val="990033"/>
          <w:sz w:val="20"/>
          <w:szCs w:val="20"/>
        </w:rPr>
      </w:pPr>
    </w:p>
    <w:p w14:paraId="02B11144" w14:textId="77777777" w:rsidR="007A39B8" w:rsidRPr="007A39B8" w:rsidRDefault="007A39B8" w:rsidP="007A39B8">
      <w:pPr>
        <w:spacing w:after="0" w:line="264" w:lineRule="auto"/>
        <w:rPr>
          <w:rStyle w:val="Hypertextovodkaz"/>
          <w:rFonts w:ascii="Arial" w:hAnsi="Arial" w:cs="Arial"/>
          <w:color w:val="990033"/>
          <w:sz w:val="20"/>
          <w:szCs w:val="20"/>
        </w:rPr>
      </w:pPr>
    </w:p>
    <w:p w14:paraId="11CCEE53" w14:textId="77777777" w:rsidR="005A2DC0" w:rsidRPr="007A39B8" w:rsidRDefault="00EB1C5A" w:rsidP="007A39B8">
      <w:pPr>
        <w:spacing w:after="0" w:line="264" w:lineRule="auto"/>
        <w:rPr>
          <w:rFonts w:ascii="Arial" w:hAnsi="Arial" w:cs="Arial"/>
          <w:sz w:val="20"/>
          <w:szCs w:val="20"/>
        </w:rPr>
      </w:pPr>
      <w:r w:rsidRPr="007A39B8">
        <w:rPr>
          <w:rFonts w:ascii="Arial" w:hAnsi="Arial" w:cs="Arial"/>
          <w:b/>
          <w:sz w:val="20"/>
          <w:szCs w:val="20"/>
        </w:rPr>
        <w:t>Informace pro editory:</w:t>
      </w:r>
    </w:p>
    <w:p w14:paraId="7DDF97E7" w14:textId="77777777" w:rsidR="005A2DC0" w:rsidRPr="007A39B8" w:rsidRDefault="005A2DC0" w:rsidP="007A39B8">
      <w:pPr>
        <w:pStyle w:val="F2-zkladn"/>
        <w:spacing w:before="0" w:line="264" w:lineRule="auto"/>
        <w:rPr>
          <w:b/>
        </w:rPr>
      </w:pPr>
    </w:p>
    <w:p w14:paraId="05D36A23" w14:textId="77777777" w:rsidR="00EB1C5A" w:rsidRDefault="00EB1C5A" w:rsidP="007A39B8">
      <w:pPr>
        <w:pStyle w:val="F2-zkladn"/>
        <w:spacing w:before="0" w:line="264" w:lineRule="auto"/>
      </w:pPr>
      <w:r w:rsidRPr="007A39B8">
        <w:t xml:space="preserve">Skupina </w:t>
      </w:r>
      <w:r w:rsidRPr="007A39B8">
        <w:rPr>
          <w:b/>
        </w:rPr>
        <w:t>TPA Group</w:t>
      </w:r>
      <w:r w:rsidRPr="007A39B8">
        <w:t xml:space="preserve"> poskytuje v České republice své služby od roku </w:t>
      </w:r>
      <w:smartTag w:uri="urn:schemas-microsoft-com:office:smarttags" w:element="metricconverter">
        <w:smartTagPr>
          <w:attr w:name="ProductID" w:val="1993 a"/>
        </w:smartTagPr>
        <w:r w:rsidRPr="007A39B8">
          <w:t>1993 a</w:t>
        </w:r>
      </w:smartTag>
      <w:r w:rsidRPr="007A39B8">
        <w:t xml:space="preserve"> působí celkem v</w:t>
      </w:r>
      <w:r w:rsidR="00483CC4" w:rsidRPr="007A39B8">
        <w:t>e dvanácti</w:t>
      </w:r>
      <w:r w:rsidRPr="007A39B8">
        <w:t xml:space="preserve"> zemích střední a jihovýchodní Evropy. </w:t>
      </w:r>
      <w:r w:rsidR="009B0DF4" w:rsidRPr="007A39B8">
        <w:t xml:space="preserve">Poskytuje služby zejména v oblastech daňově poradenství, vedení účetnictví, auditu, oceňování a poradenství při akvizicích. </w:t>
      </w:r>
      <w:r w:rsidRPr="007A39B8">
        <w:t xml:space="preserve"> Zaměřuje se především na korporátní klienty podnikající na mezinárodní úrovni v oblasti střední a jihovýchodní Evropy. Skupina TPA Group je nezávislým členem aliance</w:t>
      </w:r>
      <w:r w:rsidRPr="007A39B8">
        <w:rPr>
          <w:b/>
        </w:rPr>
        <w:t xml:space="preserve"> </w:t>
      </w:r>
      <w:proofErr w:type="spellStart"/>
      <w:r w:rsidRPr="007A39B8">
        <w:rPr>
          <w:b/>
        </w:rPr>
        <w:t>Baker</w:t>
      </w:r>
      <w:proofErr w:type="spellEnd"/>
      <w:r w:rsidRPr="007A39B8">
        <w:rPr>
          <w:b/>
        </w:rPr>
        <w:t xml:space="preserve"> </w:t>
      </w:r>
      <w:proofErr w:type="spellStart"/>
      <w:r w:rsidRPr="007A39B8">
        <w:rPr>
          <w:b/>
        </w:rPr>
        <w:t>Tilly</w:t>
      </w:r>
      <w:proofErr w:type="spellEnd"/>
      <w:r w:rsidRPr="007A39B8">
        <w:rPr>
          <w:b/>
        </w:rPr>
        <w:t xml:space="preserve"> </w:t>
      </w:r>
      <w:proofErr w:type="spellStart"/>
      <w:r w:rsidRPr="007A39B8">
        <w:rPr>
          <w:b/>
        </w:rPr>
        <w:t>Europe</w:t>
      </w:r>
      <w:proofErr w:type="spellEnd"/>
      <w:r w:rsidRPr="007A39B8">
        <w:rPr>
          <w:b/>
        </w:rPr>
        <w:t xml:space="preserve"> </w:t>
      </w:r>
      <w:proofErr w:type="spellStart"/>
      <w:r w:rsidRPr="007A39B8">
        <w:rPr>
          <w:b/>
        </w:rPr>
        <w:t>Alliance</w:t>
      </w:r>
      <w:proofErr w:type="spellEnd"/>
      <w:r w:rsidRPr="007A39B8">
        <w:t xml:space="preserve">, jejímiž dalšími členy je celosvětová poradenská síť </w:t>
      </w:r>
      <w:hyperlink r:id="rId11" w:history="1">
        <w:proofErr w:type="spellStart"/>
        <w:r w:rsidRPr="007A39B8">
          <w:rPr>
            <w:rStyle w:val="Hypertextovodkaz"/>
            <w:b/>
          </w:rPr>
          <w:t>Baker</w:t>
        </w:r>
        <w:proofErr w:type="spellEnd"/>
        <w:r w:rsidRPr="007A39B8">
          <w:rPr>
            <w:rStyle w:val="Hypertextovodkaz"/>
            <w:b/>
          </w:rPr>
          <w:t xml:space="preserve"> </w:t>
        </w:r>
        <w:proofErr w:type="spellStart"/>
        <w:r w:rsidRPr="007A39B8">
          <w:rPr>
            <w:rStyle w:val="Hypertextovodkaz"/>
            <w:b/>
          </w:rPr>
          <w:t>Tilly</w:t>
        </w:r>
        <w:proofErr w:type="spellEnd"/>
        <w:r w:rsidRPr="007A39B8">
          <w:rPr>
            <w:rStyle w:val="Hypertextovodkaz"/>
            <w:b/>
          </w:rPr>
          <w:t xml:space="preserve"> International</w:t>
        </w:r>
      </w:hyperlink>
      <w:r w:rsidRPr="007A39B8">
        <w:t xml:space="preserve"> a samostatný člen </w:t>
      </w:r>
      <w:proofErr w:type="spellStart"/>
      <w:r w:rsidRPr="007A39B8">
        <w:t>Baker</w:t>
      </w:r>
      <w:proofErr w:type="spellEnd"/>
      <w:r w:rsidRPr="007A39B8">
        <w:t xml:space="preserve"> </w:t>
      </w:r>
      <w:proofErr w:type="spellStart"/>
      <w:r w:rsidRPr="007A39B8">
        <w:t>Tilly</w:t>
      </w:r>
      <w:proofErr w:type="spellEnd"/>
      <w:r w:rsidRPr="007A39B8">
        <w:t xml:space="preserve"> International, </w:t>
      </w:r>
      <w:hyperlink r:id="rId12" w:history="1">
        <w:proofErr w:type="spellStart"/>
        <w:r w:rsidR="00433B9A" w:rsidRPr="007A39B8">
          <w:rPr>
            <w:rStyle w:val="Hypertextovodkaz"/>
            <w:b/>
          </w:rPr>
          <w:t>Baker</w:t>
        </w:r>
        <w:proofErr w:type="spellEnd"/>
        <w:r w:rsidR="00433B9A" w:rsidRPr="007A39B8">
          <w:rPr>
            <w:rStyle w:val="Hypertextovodkaz"/>
            <w:b/>
          </w:rPr>
          <w:t xml:space="preserve"> </w:t>
        </w:r>
        <w:proofErr w:type="spellStart"/>
        <w:r w:rsidR="00433B9A" w:rsidRPr="007A39B8">
          <w:rPr>
            <w:rStyle w:val="Hypertextovodkaz"/>
            <w:b/>
          </w:rPr>
          <w:t>Tilly</w:t>
        </w:r>
        <w:proofErr w:type="spellEnd"/>
      </w:hyperlink>
      <w:r w:rsidRPr="007A39B8">
        <w:t xml:space="preserve"> v Německu. Díky členství v </w:t>
      </w:r>
      <w:proofErr w:type="spellStart"/>
      <w:r w:rsidRPr="007A39B8">
        <w:t>Baker</w:t>
      </w:r>
      <w:proofErr w:type="spellEnd"/>
      <w:r w:rsidRPr="007A39B8">
        <w:t xml:space="preserve"> </w:t>
      </w:r>
      <w:proofErr w:type="spellStart"/>
      <w:r w:rsidRPr="007A39B8">
        <w:t>Tilly</w:t>
      </w:r>
      <w:proofErr w:type="spellEnd"/>
      <w:r w:rsidRPr="007A39B8">
        <w:t xml:space="preserve"> </w:t>
      </w:r>
      <w:proofErr w:type="spellStart"/>
      <w:r w:rsidRPr="007A39B8">
        <w:t>Europe</w:t>
      </w:r>
      <w:proofErr w:type="spellEnd"/>
      <w:r w:rsidRPr="007A39B8">
        <w:t xml:space="preserve"> </w:t>
      </w:r>
      <w:proofErr w:type="spellStart"/>
      <w:r w:rsidRPr="007A39B8">
        <w:t>Allience</w:t>
      </w:r>
      <w:proofErr w:type="spellEnd"/>
      <w:r w:rsidRPr="007A39B8">
        <w:t xml:space="preserve"> nabízí skupina TPA Group svým klientům služby globální sítě </w:t>
      </w:r>
      <w:proofErr w:type="spellStart"/>
      <w:r w:rsidRPr="007A39B8">
        <w:t>Baker</w:t>
      </w:r>
      <w:proofErr w:type="spellEnd"/>
      <w:r w:rsidRPr="007A39B8">
        <w:t xml:space="preserve"> </w:t>
      </w:r>
      <w:proofErr w:type="spellStart"/>
      <w:r w:rsidRPr="007A39B8">
        <w:t>Tilly</w:t>
      </w:r>
      <w:proofErr w:type="spellEnd"/>
      <w:r w:rsidRPr="007A39B8">
        <w:t xml:space="preserve"> International, která patří do první desítky celosvětových poradenských sítí. </w:t>
      </w:r>
    </w:p>
    <w:p w14:paraId="24B4D0B6" w14:textId="77777777" w:rsidR="00BA2004" w:rsidRPr="007A39B8" w:rsidRDefault="00BA2004" w:rsidP="007A39B8">
      <w:pPr>
        <w:pStyle w:val="F2-zkladn"/>
        <w:spacing w:before="0" w:line="264" w:lineRule="auto"/>
      </w:pPr>
    </w:p>
    <w:p w14:paraId="1A9B85E0" w14:textId="01DD576C" w:rsidR="001272D9" w:rsidRDefault="001272D9"/>
    <w:sectPr w:rsidR="001272D9" w:rsidSect="00FD070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8C78C" w14:textId="77777777" w:rsidR="00105748" w:rsidRDefault="00105748" w:rsidP="00087B0F">
      <w:pPr>
        <w:spacing w:after="0" w:line="240" w:lineRule="auto"/>
      </w:pPr>
      <w:r>
        <w:separator/>
      </w:r>
    </w:p>
  </w:endnote>
  <w:endnote w:type="continuationSeparator" w:id="0">
    <w:p w14:paraId="08C64A0C" w14:textId="77777777" w:rsidR="00105748" w:rsidRDefault="00105748"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C443"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5DD5"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939D"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CAA86" w14:textId="77777777" w:rsidR="00105748" w:rsidRDefault="00105748" w:rsidP="00087B0F">
      <w:pPr>
        <w:spacing w:after="0" w:line="240" w:lineRule="auto"/>
      </w:pPr>
      <w:r>
        <w:separator/>
      </w:r>
    </w:p>
  </w:footnote>
  <w:footnote w:type="continuationSeparator" w:id="0">
    <w:p w14:paraId="05D677F4" w14:textId="77777777" w:rsidR="00105748" w:rsidRDefault="00105748" w:rsidP="0008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97B2"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4D380" w14:textId="77777777" w:rsidR="00704800" w:rsidRDefault="004432AB">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BE73" w14:textId="77777777" w:rsidR="00A71FE0" w:rsidRDefault="00A71F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21254"/>
    <w:rsid w:val="00024EB1"/>
    <w:rsid w:val="00034EAB"/>
    <w:rsid w:val="000474F2"/>
    <w:rsid w:val="0005087E"/>
    <w:rsid w:val="00056B71"/>
    <w:rsid w:val="00065420"/>
    <w:rsid w:val="00072CA9"/>
    <w:rsid w:val="00087B0F"/>
    <w:rsid w:val="000A2944"/>
    <w:rsid w:val="000B1F52"/>
    <w:rsid w:val="000F648D"/>
    <w:rsid w:val="00105748"/>
    <w:rsid w:val="001272D9"/>
    <w:rsid w:val="001349D3"/>
    <w:rsid w:val="00147AAD"/>
    <w:rsid w:val="001514D6"/>
    <w:rsid w:val="001643CE"/>
    <w:rsid w:val="001665B3"/>
    <w:rsid w:val="001833EC"/>
    <w:rsid w:val="00190F27"/>
    <w:rsid w:val="001B248E"/>
    <w:rsid w:val="001C0CE4"/>
    <w:rsid w:val="001F387C"/>
    <w:rsid w:val="001F501D"/>
    <w:rsid w:val="002212EA"/>
    <w:rsid w:val="0022496F"/>
    <w:rsid w:val="00225EE1"/>
    <w:rsid w:val="00232D8F"/>
    <w:rsid w:val="002467AC"/>
    <w:rsid w:val="002468A7"/>
    <w:rsid w:val="0025133B"/>
    <w:rsid w:val="0027105E"/>
    <w:rsid w:val="002948D0"/>
    <w:rsid w:val="002A3294"/>
    <w:rsid w:val="002A7D37"/>
    <w:rsid w:val="002D4C48"/>
    <w:rsid w:val="002E3827"/>
    <w:rsid w:val="002E39E1"/>
    <w:rsid w:val="00302ABC"/>
    <w:rsid w:val="0030704F"/>
    <w:rsid w:val="00307EBA"/>
    <w:rsid w:val="003143B9"/>
    <w:rsid w:val="00316D20"/>
    <w:rsid w:val="003371D5"/>
    <w:rsid w:val="00343B85"/>
    <w:rsid w:val="00381597"/>
    <w:rsid w:val="00385385"/>
    <w:rsid w:val="003916F2"/>
    <w:rsid w:val="003B5AE8"/>
    <w:rsid w:val="003D33AF"/>
    <w:rsid w:val="003D5F96"/>
    <w:rsid w:val="004010C0"/>
    <w:rsid w:val="00410BBE"/>
    <w:rsid w:val="00414BA1"/>
    <w:rsid w:val="00415AAB"/>
    <w:rsid w:val="004321DB"/>
    <w:rsid w:val="00433B9A"/>
    <w:rsid w:val="004432AB"/>
    <w:rsid w:val="00474216"/>
    <w:rsid w:val="00483CC4"/>
    <w:rsid w:val="00494A82"/>
    <w:rsid w:val="00494D1A"/>
    <w:rsid w:val="004C261B"/>
    <w:rsid w:val="004D4BBC"/>
    <w:rsid w:val="004E2B60"/>
    <w:rsid w:val="004F1F03"/>
    <w:rsid w:val="0051646C"/>
    <w:rsid w:val="005318CD"/>
    <w:rsid w:val="0053615C"/>
    <w:rsid w:val="00540D25"/>
    <w:rsid w:val="005500FE"/>
    <w:rsid w:val="005744B2"/>
    <w:rsid w:val="00590F8E"/>
    <w:rsid w:val="005A2487"/>
    <w:rsid w:val="005A2DC0"/>
    <w:rsid w:val="005F2968"/>
    <w:rsid w:val="006271A1"/>
    <w:rsid w:val="00643BFA"/>
    <w:rsid w:val="00650005"/>
    <w:rsid w:val="00667056"/>
    <w:rsid w:val="00677F43"/>
    <w:rsid w:val="006A30CE"/>
    <w:rsid w:val="006A65B5"/>
    <w:rsid w:val="006A7542"/>
    <w:rsid w:val="006B531A"/>
    <w:rsid w:val="006D4648"/>
    <w:rsid w:val="006D4B45"/>
    <w:rsid w:val="006D7CBC"/>
    <w:rsid w:val="006E6C5B"/>
    <w:rsid w:val="006F39F5"/>
    <w:rsid w:val="00704800"/>
    <w:rsid w:val="00732B15"/>
    <w:rsid w:val="00734F7E"/>
    <w:rsid w:val="00735B2F"/>
    <w:rsid w:val="0075184E"/>
    <w:rsid w:val="00756665"/>
    <w:rsid w:val="00764026"/>
    <w:rsid w:val="00784698"/>
    <w:rsid w:val="00792360"/>
    <w:rsid w:val="007A39B8"/>
    <w:rsid w:val="007B4CB7"/>
    <w:rsid w:val="007B5B26"/>
    <w:rsid w:val="007B5F1E"/>
    <w:rsid w:val="007C65E0"/>
    <w:rsid w:val="007C74F1"/>
    <w:rsid w:val="007D4CFC"/>
    <w:rsid w:val="007E1A19"/>
    <w:rsid w:val="00820D1C"/>
    <w:rsid w:val="008A6922"/>
    <w:rsid w:val="008B71E2"/>
    <w:rsid w:val="008C35C6"/>
    <w:rsid w:val="008D2CED"/>
    <w:rsid w:val="008D30B5"/>
    <w:rsid w:val="008E0CBB"/>
    <w:rsid w:val="00911D3B"/>
    <w:rsid w:val="009312EA"/>
    <w:rsid w:val="0094373B"/>
    <w:rsid w:val="009448BF"/>
    <w:rsid w:val="00965886"/>
    <w:rsid w:val="00965982"/>
    <w:rsid w:val="00976D76"/>
    <w:rsid w:val="0097794D"/>
    <w:rsid w:val="0099767A"/>
    <w:rsid w:val="00997BD4"/>
    <w:rsid w:val="009A0B16"/>
    <w:rsid w:val="009B0DF4"/>
    <w:rsid w:val="009C2E69"/>
    <w:rsid w:val="009F5D62"/>
    <w:rsid w:val="009F6061"/>
    <w:rsid w:val="00A03AEB"/>
    <w:rsid w:val="00A71FE0"/>
    <w:rsid w:val="00A74319"/>
    <w:rsid w:val="00A75E11"/>
    <w:rsid w:val="00A77597"/>
    <w:rsid w:val="00AA1EC4"/>
    <w:rsid w:val="00AA2DB4"/>
    <w:rsid w:val="00AD0D2A"/>
    <w:rsid w:val="00AD6570"/>
    <w:rsid w:val="00AE3FEF"/>
    <w:rsid w:val="00AF63E5"/>
    <w:rsid w:val="00B121F9"/>
    <w:rsid w:val="00B47281"/>
    <w:rsid w:val="00B66D84"/>
    <w:rsid w:val="00BA2004"/>
    <w:rsid w:val="00BA7058"/>
    <w:rsid w:val="00BB2F4F"/>
    <w:rsid w:val="00BC4A3D"/>
    <w:rsid w:val="00BD2839"/>
    <w:rsid w:val="00BD7FC6"/>
    <w:rsid w:val="00BE16A9"/>
    <w:rsid w:val="00BF7D01"/>
    <w:rsid w:val="00C27561"/>
    <w:rsid w:val="00C43F8F"/>
    <w:rsid w:val="00C64D57"/>
    <w:rsid w:val="00CC1656"/>
    <w:rsid w:val="00CD0F82"/>
    <w:rsid w:val="00CD249C"/>
    <w:rsid w:val="00D01576"/>
    <w:rsid w:val="00D04011"/>
    <w:rsid w:val="00D23939"/>
    <w:rsid w:val="00D26944"/>
    <w:rsid w:val="00D4284D"/>
    <w:rsid w:val="00D579C4"/>
    <w:rsid w:val="00D67270"/>
    <w:rsid w:val="00D72C84"/>
    <w:rsid w:val="00D73B92"/>
    <w:rsid w:val="00D74683"/>
    <w:rsid w:val="00D93651"/>
    <w:rsid w:val="00DA18DA"/>
    <w:rsid w:val="00DB6D1B"/>
    <w:rsid w:val="00DC112F"/>
    <w:rsid w:val="00DC66EC"/>
    <w:rsid w:val="00DD06BF"/>
    <w:rsid w:val="00DF5919"/>
    <w:rsid w:val="00DF7E3A"/>
    <w:rsid w:val="00E20A11"/>
    <w:rsid w:val="00E30CAC"/>
    <w:rsid w:val="00E53826"/>
    <w:rsid w:val="00E62DFE"/>
    <w:rsid w:val="00E76E54"/>
    <w:rsid w:val="00E9566A"/>
    <w:rsid w:val="00E97493"/>
    <w:rsid w:val="00EA436F"/>
    <w:rsid w:val="00EB1C5A"/>
    <w:rsid w:val="00ED4CF4"/>
    <w:rsid w:val="00F00E13"/>
    <w:rsid w:val="00F230EE"/>
    <w:rsid w:val="00F32BD2"/>
    <w:rsid w:val="00F41FA0"/>
    <w:rsid w:val="00F80911"/>
    <w:rsid w:val="00FD0701"/>
    <w:rsid w:val="00FE255D"/>
    <w:rsid w:val="0239750A"/>
    <w:rsid w:val="024FA9DA"/>
    <w:rsid w:val="026A6F84"/>
    <w:rsid w:val="02C5C4BA"/>
    <w:rsid w:val="039DD79F"/>
    <w:rsid w:val="03CB2327"/>
    <w:rsid w:val="04063FE5"/>
    <w:rsid w:val="044554D7"/>
    <w:rsid w:val="061501E2"/>
    <w:rsid w:val="06AE04F5"/>
    <w:rsid w:val="06D76539"/>
    <w:rsid w:val="06DC7D90"/>
    <w:rsid w:val="0702C3E9"/>
    <w:rsid w:val="07130723"/>
    <w:rsid w:val="08049A85"/>
    <w:rsid w:val="0A046E03"/>
    <w:rsid w:val="0A516C91"/>
    <w:rsid w:val="0A56F19F"/>
    <w:rsid w:val="0B427BBE"/>
    <w:rsid w:val="0C2C7BDA"/>
    <w:rsid w:val="0CF067FA"/>
    <w:rsid w:val="0D23EB31"/>
    <w:rsid w:val="0D85A985"/>
    <w:rsid w:val="0D890D53"/>
    <w:rsid w:val="0D8E9261"/>
    <w:rsid w:val="0DA10B06"/>
    <w:rsid w:val="0DB0DAD7"/>
    <w:rsid w:val="0F24DDB4"/>
    <w:rsid w:val="11323DC9"/>
    <w:rsid w:val="11C053D4"/>
    <w:rsid w:val="11E3B63F"/>
    <w:rsid w:val="133C96C0"/>
    <w:rsid w:val="137F86A0"/>
    <w:rsid w:val="13F663EB"/>
    <w:rsid w:val="14920391"/>
    <w:rsid w:val="1498C807"/>
    <w:rsid w:val="149E408F"/>
    <w:rsid w:val="151B5701"/>
    <w:rsid w:val="158504D8"/>
    <w:rsid w:val="15861CC3"/>
    <w:rsid w:val="1597C8AE"/>
    <w:rsid w:val="15CB354F"/>
    <w:rsid w:val="1619BCF7"/>
    <w:rsid w:val="1624654F"/>
    <w:rsid w:val="16B72762"/>
    <w:rsid w:val="17925970"/>
    <w:rsid w:val="1A09D6B1"/>
    <w:rsid w:val="1CFD05CD"/>
    <w:rsid w:val="1E91ED59"/>
    <w:rsid w:val="1FCF06F6"/>
    <w:rsid w:val="20676E1F"/>
    <w:rsid w:val="2081DB9E"/>
    <w:rsid w:val="213A9D77"/>
    <w:rsid w:val="21B6F183"/>
    <w:rsid w:val="21D220E9"/>
    <w:rsid w:val="2559AC75"/>
    <w:rsid w:val="25D060C8"/>
    <w:rsid w:val="25E70183"/>
    <w:rsid w:val="269E9D6D"/>
    <w:rsid w:val="26F0473F"/>
    <w:rsid w:val="27B88392"/>
    <w:rsid w:val="2808C856"/>
    <w:rsid w:val="28468436"/>
    <w:rsid w:val="2A27E801"/>
    <w:rsid w:val="2AB0D8C5"/>
    <w:rsid w:val="2BA37ED6"/>
    <w:rsid w:val="2BC3B862"/>
    <w:rsid w:val="2BCA5C77"/>
    <w:rsid w:val="2D3F4F37"/>
    <w:rsid w:val="2DF35B6A"/>
    <w:rsid w:val="2EBA6F57"/>
    <w:rsid w:val="2F90391C"/>
    <w:rsid w:val="3211BBAF"/>
    <w:rsid w:val="33576D49"/>
    <w:rsid w:val="338F62FE"/>
    <w:rsid w:val="368BE702"/>
    <w:rsid w:val="36C5D1A3"/>
    <w:rsid w:val="37EA4696"/>
    <w:rsid w:val="37F82A2B"/>
    <w:rsid w:val="3827B763"/>
    <w:rsid w:val="383903CB"/>
    <w:rsid w:val="38785213"/>
    <w:rsid w:val="39DA8FAA"/>
    <w:rsid w:val="3AC8D2A1"/>
    <w:rsid w:val="3DB991FF"/>
    <w:rsid w:val="3F2C8302"/>
    <w:rsid w:val="3F9D8B55"/>
    <w:rsid w:val="40E08CF3"/>
    <w:rsid w:val="41D101FA"/>
    <w:rsid w:val="423EC8DD"/>
    <w:rsid w:val="42F2394B"/>
    <w:rsid w:val="4301EB23"/>
    <w:rsid w:val="435F4054"/>
    <w:rsid w:val="43D3917C"/>
    <w:rsid w:val="449DBB84"/>
    <w:rsid w:val="456239FE"/>
    <w:rsid w:val="45A79B91"/>
    <w:rsid w:val="48A55F41"/>
    <w:rsid w:val="4AC1D451"/>
    <w:rsid w:val="4BE28462"/>
    <w:rsid w:val="4D4FA171"/>
    <w:rsid w:val="4E71413D"/>
    <w:rsid w:val="4F582A0F"/>
    <w:rsid w:val="50519165"/>
    <w:rsid w:val="507DE2B2"/>
    <w:rsid w:val="509F80CC"/>
    <w:rsid w:val="50B2ABFC"/>
    <w:rsid w:val="5184E352"/>
    <w:rsid w:val="5219B313"/>
    <w:rsid w:val="5239B5B1"/>
    <w:rsid w:val="52E14C6A"/>
    <w:rsid w:val="5365FA19"/>
    <w:rsid w:val="54C14231"/>
    <w:rsid w:val="55517EB9"/>
    <w:rsid w:val="57025B1C"/>
    <w:rsid w:val="574DCD63"/>
    <w:rsid w:val="58803E62"/>
    <w:rsid w:val="5948F6BA"/>
    <w:rsid w:val="595CF70E"/>
    <w:rsid w:val="59BEF68A"/>
    <w:rsid w:val="5B0BF1AE"/>
    <w:rsid w:val="5C12BFD7"/>
    <w:rsid w:val="5CF2FB64"/>
    <w:rsid w:val="5DABD8EA"/>
    <w:rsid w:val="5DDCD4EF"/>
    <w:rsid w:val="5F22C876"/>
    <w:rsid w:val="5F4262A1"/>
    <w:rsid w:val="5F96C9E2"/>
    <w:rsid w:val="603620A7"/>
    <w:rsid w:val="614198F8"/>
    <w:rsid w:val="616E8CBA"/>
    <w:rsid w:val="625BE913"/>
    <w:rsid w:val="6716E0B7"/>
    <w:rsid w:val="67E21DEA"/>
    <w:rsid w:val="68B2B118"/>
    <w:rsid w:val="69249BAF"/>
    <w:rsid w:val="69338280"/>
    <w:rsid w:val="6AC5F9FD"/>
    <w:rsid w:val="6AE677CF"/>
    <w:rsid w:val="6BD301EF"/>
    <w:rsid w:val="6BD7B542"/>
    <w:rsid w:val="6C9011C9"/>
    <w:rsid w:val="6CBDCFBB"/>
    <w:rsid w:val="6D1443EB"/>
    <w:rsid w:val="6D44F48A"/>
    <w:rsid w:val="6E1A5989"/>
    <w:rsid w:val="6EDA87A2"/>
    <w:rsid w:val="6F1B5F1C"/>
    <w:rsid w:val="714D0E33"/>
    <w:rsid w:val="7340AE06"/>
    <w:rsid w:val="74A41C1E"/>
    <w:rsid w:val="74F16EB6"/>
    <w:rsid w:val="75780BC3"/>
    <w:rsid w:val="75C757B5"/>
    <w:rsid w:val="76A26285"/>
    <w:rsid w:val="77751B1B"/>
    <w:rsid w:val="77E7BF1A"/>
    <w:rsid w:val="789DD256"/>
    <w:rsid w:val="7A56B738"/>
    <w:rsid w:val="7A9EC4E7"/>
    <w:rsid w:val="7B3394A8"/>
    <w:rsid w:val="7B72F05E"/>
    <w:rsid w:val="7C13742E"/>
    <w:rsid w:val="7C25CE9C"/>
    <w:rsid w:val="7CF1D2AA"/>
    <w:rsid w:val="7DA8AFEC"/>
    <w:rsid w:val="7EEC21A4"/>
    <w:rsid w:val="7EF7B203"/>
    <w:rsid w:val="7FA497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unhideWhenUsed/>
    <w:rsid w:val="00BC4A3D"/>
    <w:rPr>
      <w:sz w:val="20"/>
      <w:szCs w:val="20"/>
    </w:rPr>
  </w:style>
  <w:style w:type="character" w:customStyle="1" w:styleId="TextkomenteChar">
    <w:name w:val="Text komentáře Char"/>
    <w:link w:val="Textkomente"/>
    <w:uiPriority w:val="99"/>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customStyle="1" w:styleId="Default">
    <w:name w:val="Default"/>
    <w:rsid w:val="00024EB1"/>
    <w:pPr>
      <w:autoSpaceDE w:val="0"/>
      <w:autoSpaceDN w:val="0"/>
      <w:adjustRightInd w:val="0"/>
    </w:pPr>
    <w:rPr>
      <w:rFonts w:ascii="Arial" w:eastAsiaTheme="minorHAnsi" w:hAnsi="Arial" w:cs="Arial"/>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6880">
      <w:bodyDiv w:val="1"/>
      <w:marLeft w:val="0"/>
      <w:marRight w:val="0"/>
      <w:marTop w:val="0"/>
      <w:marBottom w:val="0"/>
      <w:divBdr>
        <w:top w:val="none" w:sz="0" w:space="0" w:color="auto"/>
        <w:left w:val="none" w:sz="0" w:space="0" w:color="auto"/>
        <w:bottom w:val="none" w:sz="0" w:space="0" w:color="auto"/>
        <w:right w:val="none" w:sz="0" w:space="0" w:color="auto"/>
      </w:divBdr>
    </w:div>
    <w:div w:id="58289220">
      <w:bodyDiv w:val="1"/>
      <w:marLeft w:val="0"/>
      <w:marRight w:val="0"/>
      <w:marTop w:val="0"/>
      <w:marBottom w:val="0"/>
      <w:divBdr>
        <w:top w:val="none" w:sz="0" w:space="0" w:color="auto"/>
        <w:left w:val="none" w:sz="0" w:space="0" w:color="auto"/>
        <w:bottom w:val="none" w:sz="0" w:space="0" w:color="auto"/>
        <w:right w:val="none" w:sz="0" w:space="0" w:color="auto"/>
      </w:divBdr>
    </w:div>
    <w:div w:id="72704477">
      <w:bodyDiv w:val="1"/>
      <w:marLeft w:val="0"/>
      <w:marRight w:val="0"/>
      <w:marTop w:val="0"/>
      <w:marBottom w:val="0"/>
      <w:divBdr>
        <w:top w:val="none" w:sz="0" w:space="0" w:color="auto"/>
        <w:left w:val="none" w:sz="0" w:space="0" w:color="auto"/>
        <w:bottom w:val="none" w:sz="0" w:space="0" w:color="auto"/>
        <w:right w:val="none" w:sz="0" w:space="0" w:color="auto"/>
      </w:divBdr>
    </w:div>
    <w:div w:id="460193796">
      <w:bodyDiv w:val="1"/>
      <w:marLeft w:val="0"/>
      <w:marRight w:val="0"/>
      <w:marTop w:val="0"/>
      <w:marBottom w:val="0"/>
      <w:divBdr>
        <w:top w:val="none" w:sz="0" w:space="0" w:color="auto"/>
        <w:left w:val="none" w:sz="0" w:space="0" w:color="auto"/>
        <w:bottom w:val="none" w:sz="0" w:space="0" w:color="auto"/>
        <w:right w:val="none" w:sz="0" w:space="0" w:color="auto"/>
      </w:divBdr>
    </w:div>
    <w:div w:id="549270150">
      <w:bodyDiv w:val="1"/>
      <w:marLeft w:val="0"/>
      <w:marRight w:val="0"/>
      <w:marTop w:val="0"/>
      <w:marBottom w:val="0"/>
      <w:divBdr>
        <w:top w:val="none" w:sz="0" w:space="0" w:color="auto"/>
        <w:left w:val="none" w:sz="0" w:space="0" w:color="auto"/>
        <w:bottom w:val="none" w:sz="0" w:space="0" w:color="auto"/>
        <w:right w:val="none" w:sz="0" w:space="0" w:color="auto"/>
      </w:divBdr>
    </w:div>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1029524221">
      <w:bodyDiv w:val="1"/>
      <w:marLeft w:val="0"/>
      <w:marRight w:val="0"/>
      <w:marTop w:val="0"/>
      <w:marBottom w:val="0"/>
      <w:divBdr>
        <w:top w:val="none" w:sz="0" w:space="0" w:color="auto"/>
        <w:left w:val="none" w:sz="0" w:space="0" w:color="auto"/>
        <w:bottom w:val="none" w:sz="0" w:space="0" w:color="auto"/>
        <w:right w:val="none" w:sz="0" w:space="0" w:color="auto"/>
      </w:divBdr>
    </w:div>
    <w:div w:id="1078283639">
      <w:bodyDiv w:val="1"/>
      <w:marLeft w:val="0"/>
      <w:marRight w:val="0"/>
      <w:marTop w:val="0"/>
      <w:marBottom w:val="0"/>
      <w:divBdr>
        <w:top w:val="none" w:sz="0" w:space="0" w:color="auto"/>
        <w:left w:val="none" w:sz="0" w:space="0" w:color="auto"/>
        <w:bottom w:val="none" w:sz="0" w:space="0" w:color="auto"/>
        <w:right w:val="none" w:sz="0" w:space="0" w:color="auto"/>
      </w:divBdr>
    </w:div>
    <w:div w:id="1161581969">
      <w:bodyDiv w:val="1"/>
      <w:marLeft w:val="0"/>
      <w:marRight w:val="0"/>
      <w:marTop w:val="0"/>
      <w:marBottom w:val="0"/>
      <w:divBdr>
        <w:top w:val="none" w:sz="0" w:space="0" w:color="auto"/>
        <w:left w:val="none" w:sz="0" w:space="0" w:color="auto"/>
        <w:bottom w:val="none" w:sz="0" w:space="0" w:color="auto"/>
        <w:right w:val="none" w:sz="0" w:space="0" w:color="auto"/>
      </w:divBdr>
    </w:div>
    <w:div w:id="1363094334">
      <w:bodyDiv w:val="1"/>
      <w:marLeft w:val="0"/>
      <w:marRight w:val="0"/>
      <w:marTop w:val="0"/>
      <w:marBottom w:val="0"/>
      <w:divBdr>
        <w:top w:val="none" w:sz="0" w:space="0" w:color="auto"/>
        <w:left w:val="none" w:sz="0" w:space="0" w:color="auto"/>
        <w:bottom w:val="none" w:sz="0" w:space="0" w:color="auto"/>
        <w:right w:val="none" w:sz="0" w:space="0" w:color="auto"/>
      </w:divBdr>
    </w:div>
    <w:div w:id="1376463605">
      <w:bodyDiv w:val="1"/>
      <w:marLeft w:val="0"/>
      <w:marRight w:val="0"/>
      <w:marTop w:val="0"/>
      <w:marBottom w:val="0"/>
      <w:divBdr>
        <w:top w:val="none" w:sz="0" w:space="0" w:color="auto"/>
        <w:left w:val="none" w:sz="0" w:space="0" w:color="auto"/>
        <w:bottom w:val="none" w:sz="0" w:space="0" w:color="auto"/>
        <w:right w:val="none" w:sz="0" w:space="0" w:color="auto"/>
      </w:divBdr>
    </w:div>
    <w:div w:id="1926068778">
      <w:bodyDiv w:val="1"/>
      <w:marLeft w:val="0"/>
      <w:marRight w:val="0"/>
      <w:marTop w:val="0"/>
      <w:marBottom w:val="0"/>
      <w:divBdr>
        <w:top w:val="none" w:sz="0" w:space="0" w:color="auto"/>
        <w:left w:val="none" w:sz="0" w:space="0" w:color="auto"/>
        <w:bottom w:val="none" w:sz="0" w:space="0" w:color="auto"/>
        <w:right w:val="none" w:sz="0" w:space="0" w:color="auto"/>
      </w:divBdr>
    </w:div>
    <w:div w:id="1970747824">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03229993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 w:id="21456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kertilly.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kertillyinternational.com/web/home.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mila.zitnakova@crestcom.c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F66F-A157-442A-8009-5FD2957D1C07}">
  <ds:schemaRefs>
    <ds:schemaRef ds:uri="http://schemas.microsoft.com/sharepoint/v3/contenttype/forms"/>
  </ds:schemaRefs>
</ds:datastoreItem>
</file>

<file path=customXml/itemProps2.xml><?xml version="1.0" encoding="utf-8"?>
<ds:datastoreItem xmlns:ds="http://schemas.openxmlformats.org/officeDocument/2006/customXml" ds:itemID="{BC9A3962-38AA-4013-8207-ECB6B031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7E4DF-B34A-40D8-9B4C-46486313516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4266</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Natalie Zbuzková</cp:lastModifiedBy>
  <cp:revision>6</cp:revision>
  <cp:lastPrinted>2016-08-25T19:42:00Z</cp:lastPrinted>
  <dcterms:created xsi:type="dcterms:W3CDTF">2024-10-14T14:17:00Z</dcterms:created>
  <dcterms:modified xsi:type="dcterms:W3CDTF">2024-10-21T07:23:00Z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